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jc w:val="center"/>
        <w:rPr>
          <w:rFonts w:ascii="Times New Roman" w:cs="Times New Roman" w:eastAsia="Times New Roman" w:hAnsi="Times New Roman"/>
          <w:b w:val="0"/>
          <w:bCs w:val="0"/>
          <w:color w:val="50283a"/>
          <w:sz w:val="46"/>
          <w:szCs w:val="46"/>
        </w:rPr>
      </w:pPr>
      <w:bookmarkStart w:colFirst="0" w:colLast="0" w:name="_cmah8sf8p04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46"/>
          <w:szCs w:val="46"/>
          <w:rtl w:val="0"/>
        </w:rPr>
        <w:t xml:space="preserve">Wsparcie dla kobiet w zakresie profilaktyki raka piersi i w trakcie leczenia onkologicznego.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50283a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jc w:val="left"/>
        <w:rPr>
          <w:rFonts w:ascii="Times New Roman" w:cs="Times New Roman" w:eastAsia="Times New Roman" w:hAnsi="Times New Roman"/>
          <w:b w:val="0"/>
          <w:bCs w:val="0"/>
          <w:color w:val="50283a"/>
          <w:sz w:val="46"/>
          <w:szCs w:val="46"/>
        </w:rPr>
      </w:pPr>
      <w:bookmarkStart w:colFirst="0" w:colLast="0" w:name="_ssnwvz9tqp6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jc w:val="left"/>
        <w:rPr>
          <w:rFonts w:ascii="Arial" w:cs="Arial" w:eastAsia="Arial" w:hAnsi="Arial"/>
          <w:sz w:val="28"/>
          <w:szCs w:val="28"/>
        </w:rPr>
      </w:pPr>
      <w:bookmarkStart w:colFirst="0" w:colLast="0" w:name="_96dft52nmk6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50283a"/>
          <w:sz w:val="46"/>
          <w:szCs w:val="46"/>
          <w:rtl w:val="0"/>
        </w:rPr>
        <w:t xml:space="preserve">C</w:t>
      </w:r>
      <w:r w:rsidDel="00000000" w:rsidR="00000000" w:rsidRPr="00000000">
        <w:rPr>
          <w:rtl w:val="0"/>
        </w:rPr>
        <w:t xml:space="preserve">o to jest?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Poradnik ten wydawany jest przez nasze Stowarzyszenie Amazonek Femina-Fenix Wrocław od ponad 30 lat i jest pierwszą lekturą pacjentek po przebytej operacji onkologicznej piersi. Taki poradnik każda kobieta leczona w Dolnośląskim Centrum Onkologii, Pulmonologii i Hematologii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600075</wp:posOffset>
            </wp:positionV>
            <wp:extent cx="1206500" cy="1244600"/>
            <wp:effectExtent b="0" l="0" r="0" t="0"/>
            <wp:wrapSquare wrapText="bothSides" distB="0" distT="0" distL="114300" distR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1530" r="15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4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we Wrocławiu oraz Wojewódzkim Szpitalu Specjalistycznym we Wrocławiu przy </w:t>
      </w:r>
    </w:p>
    <w:p w:rsidR="00000000" w:rsidDel="00000000" w:rsidP="00000000" w:rsidRDefault="00000000" w:rsidRPr="00000000" w14:paraId="00000006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ul. Kamińskiego otrzymuje bezpłatnie z rąk fizjoterapeuty lub pielęgniarki oddziałowej.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rojekt trwa od 18.11.2025 do 31.12.2025 r.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Projekt dedykowany jest: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</wp:posOffset>
            </wp:positionH>
            <wp:positionV relativeFrom="paragraph">
              <wp:posOffset>275487</wp:posOffset>
            </wp:positionV>
            <wp:extent cx="1838325" cy="183832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Ulotki promujące samobadanie piersi skierowane są do zdrowych kobiet                       w różnym wieku. W związku ze zwiększoną zachorowalnością na raka piersi ważna jest obserwacja własnego ciała. Ulotka ta w kilku krokach pokazuje jak profesjonalnie wykonać samobadanie piersi i na co zwrócić szczególną uwagę.                                     Ulotki są rozprowadzane wśród mieszkanek Wrocławia na okolicznościowych imprezach kulturalnych, sportowych, rozrywkowych, edukacyjnych w szkołach i zakładach pracy.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Poradnik to pierwsza lektura dla kobiet       po zabiegach chirurgicznych. Ma za zadanie wprowadzenie kobiet leczonych z powodu raka piersi w podstawowe problemy              z którymi przyjdzie nam się zmierzyć.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Pieniądze na ten projekt dali nam:</w:t>
      </w:r>
    </w:p>
    <w:p w:rsidR="00000000" w:rsidDel="00000000" w:rsidP="00000000" w:rsidRDefault="00000000" w:rsidRPr="00000000" w14:paraId="0000000B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160398</wp:posOffset>
            </wp:positionH>
            <wp:positionV relativeFrom="paragraph">
              <wp:posOffset>66404</wp:posOffset>
            </wp:positionV>
            <wp:extent cx="1439545" cy="1439545"/>
            <wp:effectExtent b="0" l="0" r="0" t="0"/>
            <wp:wrapSquare wrapText="bothSides" distB="0" distT="0" distL="114300" distR="114300"/>
            <wp:docPr descr="Obraz zawierający grafika wektorowa, wizytówka&#10;&#10;Opis wygenerowany automatycznie" id="1" name="image3.png"/>
            <a:graphic>
              <a:graphicData uri="http://schemas.openxmlformats.org/drawingml/2006/picture">
                <pic:pic>
                  <pic:nvPicPr>
                    <pic:cNvPr descr="Obraz zawierający grafika wektorowa, wizytówka&#10;&#10;Opis wygenerowany automatyczni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4406" w:hanging="36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Gmina Wrocław</w:t>
      </w:r>
    </w:p>
    <w:p w:rsidR="00000000" w:rsidDel="00000000" w:rsidP="00000000" w:rsidRDefault="00000000" w:rsidRPr="00000000" w14:paraId="0000000E">
      <w:pPr>
        <w:spacing w:after="300" w:line="360" w:lineRule="auto"/>
        <w:ind w:left="4406" w:firstLine="0"/>
        <w:rPr>
          <w:rFonts w:ascii="Arial" w:cs="Arial" w:eastAsia="Arial" w:hAnsi="Arial"/>
          <w:i w:val="1"/>
          <w:iCs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114300" distT="114300" distL="114300" distR="114300">
            <wp:extent cx="3381692" cy="2514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692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  <w:i w:val="1"/>
          <w:iCs w:val="1"/>
          <w:color w:val="8bc34a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z w:val="20"/>
          <w:szCs w:val="20"/>
          <w:highlight w:val="white"/>
          <w:rtl w:val="0"/>
        </w:rPr>
        <w:t xml:space="preserve">Wykorzystane symbole graficzne zostały stworzone przez Sergio Palao dla </w:t>
      </w:r>
      <w:hyperlink r:id="rId10">
        <w:r w:rsidDel="00000000" w:rsidR="00000000" w:rsidRPr="00000000">
          <w:rPr>
            <w:rFonts w:ascii="Arial" w:cs="Arial" w:eastAsia="Arial" w:hAnsi="Arial"/>
            <w:i w:val="1"/>
            <w:iCs w:val="1"/>
            <w:color w:val="8bc34a"/>
            <w:sz w:val="20"/>
            <w:szCs w:val="20"/>
            <w:u w:val="single"/>
            <w:rtl w:val="0"/>
          </w:rPr>
          <w:t xml:space="preserve">ARASAAC (http://www.arasaac.org)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z w:val="20"/>
          <w:szCs w:val="20"/>
          <w:highlight w:val="white"/>
          <w:rtl w:val="0"/>
        </w:rPr>
        <w:t xml:space="preserve"> a rozpowszechniane są na licencji </w:t>
      </w:r>
      <w:hyperlink r:id="rId11">
        <w:r w:rsidDel="00000000" w:rsidR="00000000" w:rsidRPr="00000000">
          <w:rPr>
            <w:rFonts w:ascii="Arial" w:cs="Arial" w:eastAsia="Arial" w:hAnsi="Arial"/>
            <w:i w:val="1"/>
            <w:iCs w:val="1"/>
            <w:color w:val="8bc34a"/>
            <w:sz w:val="20"/>
            <w:szCs w:val="20"/>
            <w:u w:val="single"/>
            <w:rtl w:val="0"/>
          </w:rPr>
          <w:t xml:space="preserve">Licencja Creative Commons BY-NC-SA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Logotyp: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http://amazonki.wroclaw.pl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2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84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56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8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00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72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44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16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cs="Cambria" w:eastAsia="Cambria" w:hAnsi="Cambria"/>
      <w:b w:val="1"/>
      <w:bCs w:val="1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eativecommons.org/licenses/by-nc-sa/4.0/deed.undefined" TargetMode="External"/><Relationship Id="rId10" Type="http://schemas.openxmlformats.org/officeDocument/2006/relationships/hyperlink" Target="http://www.arasaac.org/" TargetMode="External"/><Relationship Id="rId13" Type="http://schemas.openxmlformats.org/officeDocument/2006/relationships/footer" Target="footer1.xml"/><Relationship Id="rId12" Type="http://schemas.openxmlformats.org/officeDocument/2006/relationships/hyperlink" Target="http://amazonki.wroclaw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